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F7" w:rsidRDefault="000D47F7" w:rsidP="000D47F7">
      <w:pPr>
        <w:tabs>
          <w:tab w:val="left" w:pos="270"/>
          <w:tab w:val="left" w:pos="360"/>
        </w:tabs>
        <w:spacing w:after="0"/>
        <w:rPr>
          <w:rFonts w:cs="Arial"/>
          <w:color w:val="000000" w:themeColor="text1"/>
        </w:rPr>
      </w:pPr>
      <w:r w:rsidRPr="00907ED8">
        <w:rPr>
          <w:rFonts w:ascii="Arial Narrow" w:hAnsi="Arial Narrow"/>
          <w:noProof/>
        </w:rPr>
        <w:drawing>
          <wp:anchor distT="0" distB="0" distL="114300" distR="114300" simplePos="0" relativeHeight="251659264" behindDoc="0" locked="0" layoutInCell="1" allowOverlap="1" wp14:anchorId="12A98F81" wp14:editId="0DF31232">
            <wp:simplePos x="0" y="0"/>
            <wp:positionH relativeFrom="column">
              <wp:posOffset>-83820</wp:posOffset>
            </wp:positionH>
            <wp:positionV relativeFrom="paragraph">
              <wp:posOffset>134620</wp:posOffset>
            </wp:positionV>
            <wp:extent cx="1435100" cy="749935"/>
            <wp:effectExtent l="0" t="0" r="0" b="0"/>
            <wp:wrapSquare wrapText="bothSides"/>
            <wp:docPr id="3" name="Picture 2" descr="SmgOvalLogoWtag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gOvalLogoWtagBlue.png"/>
                    <pic:cNvPicPr/>
                  </pic:nvPicPr>
                  <pic:blipFill>
                    <a:blip r:embed="rId5" cstate="print"/>
                    <a:stretch>
                      <a:fillRect/>
                    </a:stretch>
                  </pic:blipFill>
                  <pic:spPr>
                    <a:xfrm>
                      <a:off x="0" y="0"/>
                      <a:ext cx="1435100" cy="749935"/>
                    </a:xfrm>
                    <a:prstGeom prst="rect">
                      <a:avLst/>
                    </a:prstGeom>
                  </pic:spPr>
                </pic:pic>
              </a:graphicData>
            </a:graphic>
          </wp:anchor>
        </w:drawing>
      </w:r>
    </w:p>
    <w:p w:rsidR="000D47F7" w:rsidRDefault="000D47F7" w:rsidP="000D47F7">
      <w:pPr>
        <w:tabs>
          <w:tab w:val="left" w:pos="270"/>
          <w:tab w:val="left" w:pos="360"/>
        </w:tabs>
        <w:spacing w:after="0"/>
        <w:rPr>
          <w:rFonts w:cs="Arial"/>
          <w:b/>
          <w:color w:val="000000" w:themeColor="text1"/>
        </w:rPr>
      </w:pPr>
    </w:p>
    <w:p w:rsidR="000D47F7" w:rsidRDefault="000D47F7" w:rsidP="000D47F7">
      <w:pPr>
        <w:tabs>
          <w:tab w:val="left" w:pos="270"/>
          <w:tab w:val="left" w:pos="360"/>
        </w:tabs>
        <w:spacing w:after="0"/>
        <w:rPr>
          <w:rFonts w:cs="Arial"/>
          <w:b/>
          <w:color w:val="000000" w:themeColor="text1"/>
        </w:rPr>
      </w:pPr>
    </w:p>
    <w:p w:rsidR="000D47F7" w:rsidRDefault="000D47F7" w:rsidP="000D47F7">
      <w:pPr>
        <w:tabs>
          <w:tab w:val="left" w:pos="270"/>
          <w:tab w:val="left" w:pos="360"/>
        </w:tabs>
        <w:spacing w:after="0"/>
        <w:rPr>
          <w:rFonts w:cs="Arial"/>
          <w:b/>
          <w:color w:val="000000" w:themeColor="text1"/>
        </w:rPr>
      </w:pPr>
    </w:p>
    <w:p w:rsidR="000D47F7" w:rsidRDefault="000D47F7" w:rsidP="000D47F7">
      <w:pPr>
        <w:tabs>
          <w:tab w:val="left" w:pos="270"/>
          <w:tab w:val="left" w:pos="360"/>
        </w:tabs>
        <w:spacing w:after="0"/>
        <w:rPr>
          <w:rFonts w:cs="Arial"/>
          <w:b/>
          <w:color w:val="000000" w:themeColor="text1"/>
        </w:rPr>
      </w:pPr>
    </w:p>
    <w:p w:rsidR="000D47F7" w:rsidRPr="006C0424" w:rsidRDefault="000D47F7" w:rsidP="000D47F7">
      <w:pPr>
        <w:tabs>
          <w:tab w:val="left" w:pos="270"/>
          <w:tab w:val="left" w:pos="360"/>
        </w:tabs>
        <w:spacing w:after="0"/>
        <w:rPr>
          <w:rFonts w:cs="Arial"/>
          <w:color w:val="000000" w:themeColor="text1"/>
        </w:rPr>
      </w:pPr>
      <w:r>
        <w:rPr>
          <w:rFonts w:cs="Arial"/>
          <w:color w:val="000000" w:themeColor="text1"/>
        </w:rPr>
        <w:t>19 January 2016</w:t>
      </w:r>
    </w:p>
    <w:p w:rsidR="000D47F7" w:rsidRDefault="000D47F7" w:rsidP="000D47F7">
      <w:pPr>
        <w:tabs>
          <w:tab w:val="left" w:pos="270"/>
          <w:tab w:val="left" w:pos="360"/>
        </w:tabs>
        <w:spacing w:after="0"/>
        <w:rPr>
          <w:rFonts w:cs="Arial"/>
          <w:b/>
          <w:color w:val="000000" w:themeColor="text1"/>
        </w:rPr>
      </w:pPr>
    </w:p>
    <w:p w:rsidR="000D47F7" w:rsidRPr="006C0424" w:rsidRDefault="000D47F7" w:rsidP="000D47F7">
      <w:pPr>
        <w:tabs>
          <w:tab w:val="left" w:pos="270"/>
          <w:tab w:val="left" w:pos="360"/>
        </w:tabs>
        <w:spacing w:after="0"/>
        <w:rPr>
          <w:rFonts w:cs="Arial"/>
          <w:color w:val="000000" w:themeColor="text1"/>
        </w:rPr>
      </w:pPr>
      <w:r w:rsidRPr="006C0424">
        <w:rPr>
          <w:rFonts w:cs="Arial"/>
          <w:b/>
          <w:color w:val="000000" w:themeColor="text1"/>
        </w:rPr>
        <w:t xml:space="preserve">To: </w:t>
      </w:r>
      <w:r>
        <w:rPr>
          <w:rFonts w:cs="Arial"/>
          <w:b/>
          <w:color w:val="000000" w:themeColor="text1"/>
        </w:rPr>
        <w:tab/>
      </w:r>
      <w:r>
        <w:rPr>
          <w:rFonts w:cs="Arial"/>
          <w:b/>
          <w:color w:val="000000" w:themeColor="text1"/>
        </w:rPr>
        <w:tab/>
      </w:r>
      <w:r>
        <w:rPr>
          <w:rFonts w:cs="Arial"/>
          <w:color w:val="000000" w:themeColor="text1"/>
        </w:rPr>
        <w:t>Visit Mendocino County Board of Directors</w:t>
      </w:r>
    </w:p>
    <w:p w:rsidR="000D47F7" w:rsidRPr="006C0424" w:rsidRDefault="000D47F7" w:rsidP="000D47F7">
      <w:pPr>
        <w:tabs>
          <w:tab w:val="left" w:pos="270"/>
          <w:tab w:val="left" w:pos="360"/>
        </w:tabs>
        <w:spacing w:after="0"/>
        <w:rPr>
          <w:rFonts w:cs="Arial"/>
          <w:b/>
          <w:color w:val="000000" w:themeColor="text1"/>
        </w:rPr>
      </w:pPr>
    </w:p>
    <w:p w:rsidR="000D47F7" w:rsidRPr="006C0424" w:rsidRDefault="000D47F7" w:rsidP="000D47F7">
      <w:pPr>
        <w:tabs>
          <w:tab w:val="left" w:pos="270"/>
          <w:tab w:val="left" w:pos="360"/>
        </w:tabs>
        <w:spacing w:after="0"/>
        <w:rPr>
          <w:rFonts w:cs="Arial"/>
          <w:color w:val="000000" w:themeColor="text1"/>
        </w:rPr>
      </w:pPr>
      <w:r w:rsidRPr="006C0424">
        <w:rPr>
          <w:rFonts w:cs="Arial"/>
          <w:b/>
          <w:color w:val="000000" w:themeColor="text1"/>
        </w:rPr>
        <w:t>F</w:t>
      </w:r>
      <w:r>
        <w:rPr>
          <w:rFonts w:cs="Arial"/>
          <w:b/>
          <w:color w:val="000000" w:themeColor="text1"/>
        </w:rPr>
        <w:t xml:space="preserve">r: </w:t>
      </w:r>
      <w:r>
        <w:rPr>
          <w:rFonts w:cs="Arial"/>
          <w:b/>
          <w:color w:val="000000" w:themeColor="text1"/>
        </w:rPr>
        <w:tab/>
      </w:r>
      <w:r>
        <w:rPr>
          <w:rFonts w:cs="Arial"/>
          <w:b/>
          <w:color w:val="000000" w:themeColor="text1"/>
        </w:rPr>
        <w:tab/>
      </w:r>
      <w:r w:rsidRPr="006C0424">
        <w:rPr>
          <w:rFonts w:cs="Arial"/>
          <w:color w:val="000000" w:themeColor="text1"/>
        </w:rPr>
        <w:t>Carl Ribaudo</w:t>
      </w:r>
      <w:r>
        <w:rPr>
          <w:rFonts w:cs="Arial"/>
          <w:color w:val="000000" w:themeColor="text1"/>
        </w:rPr>
        <w:t>, SMG Consulting</w:t>
      </w:r>
    </w:p>
    <w:p w:rsidR="000D47F7" w:rsidRDefault="000D47F7" w:rsidP="000D47F7">
      <w:pPr>
        <w:tabs>
          <w:tab w:val="left" w:pos="270"/>
          <w:tab w:val="left" w:pos="360"/>
        </w:tabs>
        <w:spacing w:after="0"/>
        <w:rPr>
          <w:rFonts w:cs="Arial"/>
          <w:b/>
          <w:color w:val="000000" w:themeColor="text1"/>
        </w:rPr>
      </w:pPr>
    </w:p>
    <w:p w:rsidR="000D47F7" w:rsidRDefault="000D47F7" w:rsidP="000D47F7">
      <w:pPr>
        <w:tabs>
          <w:tab w:val="left" w:pos="270"/>
          <w:tab w:val="left" w:pos="360"/>
        </w:tabs>
        <w:spacing w:after="0"/>
        <w:rPr>
          <w:rFonts w:cs="Arial"/>
          <w:b/>
          <w:color w:val="000000" w:themeColor="text1"/>
        </w:rPr>
      </w:pPr>
      <w:r>
        <w:rPr>
          <w:rFonts w:cs="Arial"/>
          <w:b/>
          <w:color w:val="000000" w:themeColor="text1"/>
        </w:rPr>
        <w:t xml:space="preserve">CC: </w:t>
      </w:r>
      <w:r>
        <w:rPr>
          <w:rFonts w:cs="Arial"/>
          <w:b/>
          <w:color w:val="000000" w:themeColor="text1"/>
        </w:rPr>
        <w:tab/>
      </w:r>
      <w:r>
        <w:rPr>
          <w:rFonts w:cs="Arial"/>
          <w:b/>
          <w:color w:val="000000" w:themeColor="text1"/>
        </w:rPr>
        <w:tab/>
        <w:t xml:space="preserve">Joe Webb, </w:t>
      </w:r>
      <w:r w:rsidRPr="006C0424">
        <w:rPr>
          <w:rFonts w:cs="Arial"/>
          <w:color w:val="000000" w:themeColor="text1"/>
        </w:rPr>
        <w:t>Visit Mendocino County</w:t>
      </w:r>
    </w:p>
    <w:p w:rsidR="000D47F7" w:rsidRDefault="000D47F7" w:rsidP="000D47F7">
      <w:pPr>
        <w:tabs>
          <w:tab w:val="left" w:pos="270"/>
          <w:tab w:val="left" w:pos="360"/>
        </w:tabs>
        <w:spacing w:after="0"/>
        <w:rPr>
          <w:rFonts w:cs="Arial"/>
          <w:color w:val="000000" w:themeColor="text1"/>
        </w:rPr>
      </w:pPr>
      <w:r>
        <w:rPr>
          <w:rFonts w:cs="Arial"/>
          <w:b/>
          <w:color w:val="000000" w:themeColor="text1"/>
        </w:rPr>
        <w:tab/>
      </w:r>
      <w:r>
        <w:rPr>
          <w:rFonts w:cs="Arial"/>
          <w:b/>
          <w:color w:val="000000" w:themeColor="text1"/>
        </w:rPr>
        <w:tab/>
      </w:r>
      <w:r>
        <w:rPr>
          <w:rFonts w:cs="Arial"/>
          <w:b/>
          <w:color w:val="000000" w:themeColor="text1"/>
        </w:rPr>
        <w:tab/>
      </w:r>
      <w:r w:rsidRPr="006C0424">
        <w:rPr>
          <w:rFonts w:cs="Arial"/>
          <w:color w:val="000000" w:themeColor="text1"/>
        </w:rPr>
        <w:t>Scott Schneider, Visit Mendocino County</w:t>
      </w:r>
    </w:p>
    <w:p w:rsidR="000D47F7" w:rsidRDefault="000D47F7" w:rsidP="000D47F7">
      <w:pPr>
        <w:tabs>
          <w:tab w:val="left" w:pos="270"/>
          <w:tab w:val="left" w:pos="360"/>
        </w:tabs>
        <w:spacing w:after="0"/>
        <w:rPr>
          <w:rFonts w:cs="Arial"/>
          <w:color w:val="000000" w:themeColor="text1"/>
        </w:rPr>
      </w:pPr>
    </w:p>
    <w:p w:rsidR="000D47F7" w:rsidRPr="0004651B" w:rsidRDefault="000D47F7" w:rsidP="000D47F7">
      <w:pPr>
        <w:tabs>
          <w:tab w:val="left" w:pos="270"/>
          <w:tab w:val="left" w:pos="360"/>
        </w:tabs>
        <w:spacing w:after="0"/>
        <w:rPr>
          <w:rFonts w:cs="Arial"/>
          <w:b/>
          <w:color w:val="000000" w:themeColor="text1"/>
          <w:sz w:val="24"/>
          <w:szCs w:val="24"/>
        </w:rPr>
      </w:pPr>
      <w:r w:rsidRPr="0004651B">
        <w:rPr>
          <w:rFonts w:cs="Arial"/>
          <w:b/>
          <w:color w:val="000000" w:themeColor="text1"/>
          <w:sz w:val="24"/>
          <w:szCs w:val="24"/>
        </w:rPr>
        <w:t>RE:</w:t>
      </w:r>
      <w:r w:rsidRPr="0004651B">
        <w:rPr>
          <w:rFonts w:cs="Arial"/>
          <w:b/>
          <w:color w:val="000000" w:themeColor="text1"/>
          <w:sz w:val="24"/>
          <w:szCs w:val="24"/>
        </w:rPr>
        <w:tab/>
      </w:r>
      <w:r w:rsidRPr="0004651B">
        <w:rPr>
          <w:rFonts w:cs="Arial"/>
          <w:b/>
          <w:color w:val="000000" w:themeColor="text1"/>
          <w:sz w:val="24"/>
          <w:szCs w:val="24"/>
        </w:rPr>
        <w:tab/>
      </w:r>
      <w:r>
        <w:rPr>
          <w:rFonts w:cs="Arial"/>
          <w:b/>
          <w:color w:val="000000" w:themeColor="text1"/>
          <w:sz w:val="24"/>
          <w:szCs w:val="24"/>
        </w:rPr>
        <w:t xml:space="preserve">Visit Mendocino </w:t>
      </w:r>
      <w:r w:rsidR="00AE4134">
        <w:rPr>
          <w:rFonts w:cs="Arial"/>
          <w:b/>
          <w:color w:val="000000" w:themeColor="text1"/>
          <w:sz w:val="24"/>
          <w:szCs w:val="24"/>
        </w:rPr>
        <w:t>Project(s) Overview</w:t>
      </w:r>
    </w:p>
    <w:p w:rsidR="000D47F7" w:rsidRDefault="000D47F7" w:rsidP="000D47F7">
      <w:pPr>
        <w:tabs>
          <w:tab w:val="left" w:pos="270"/>
          <w:tab w:val="left" w:pos="360"/>
        </w:tabs>
        <w:spacing w:after="0"/>
        <w:rPr>
          <w:rFonts w:cs="Arial"/>
          <w:b/>
          <w:color w:val="000000" w:themeColor="text1"/>
        </w:rPr>
      </w:pPr>
      <w:r>
        <w:rPr>
          <w:rFonts w:cs="Arial"/>
          <w:b/>
          <w:color w:val="000000" w:themeColor="text1"/>
        </w:rPr>
        <w:t>____________________________________________________________________________________</w:t>
      </w:r>
    </w:p>
    <w:p w:rsidR="000D47F7" w:rsidRDefault="000D47F7" w:rsidP="000D47F7">
      <w:pPr>
        <w:tabs>
          <w:tab w:val="left" w:pos="270"/>
          <w:tab w:val="left" w:pos="360"/>
        </w:tabs>
        <w:spacing w:after="0"/>
        <w:rPr>
          <w:rFonts w:cs="Arial"/>
          <w:b/>
          <w:color w:val="000000" w:themeColor="text1"/>
        </w:rPr>
      </w:pPr>
    </w:p>
    <w:p w:rsidR="000D47F7" w:rsidRPr="00DC359D" w:rsidRDefault="000D47F7" w:rsidP="000D47F7">
      <w:pPr>
        <w:tabs>
          <w:tab w:val="left" w:pos="270"/>
          <w:tab w:val="left" w:pos="360"/>
        </w:tabs>
        <w:spacing w:after="0"/>
        <w:rPr>
          <w:rFonts w:cs="Arial"/>
          <w:color w:val="000000" w:themeColor="text1"/>
        </w:rPr>
      </w:pPr>
      <w:r w:rsidRPr="00DC359D">
        <w:rPr>
          <w:rFonts w:cs="Arial"/>
          <w:color w:val="000000" w:themeColor="text1"/>
        </w:rPr>
        <w:t>All,</w:t>
      </w:r>
    </w:p>
    <w:p w:rsidR="000D47F7" w:rsidRPr="00DC359D" w:rsidRDefault="000D47F7" w:rsidP="000D47F7">
      <w:pPr>
        <w:tabs>
          <w:tab w:val="left" w:pos="270"/>
          <w:tab w:val="left" w:pos="360"/>
        </w:tabs>
        <w:spacing w:after="0"/>
        <w:rPr>
          <w:rFonts w:cs="Arial"/>
          <w:color w:val="000000" w:themeColor="text1"/>
        </w:rPr>
      </w:pPr>
      <w:r w:rsidRPr="00DC359D">
        <w:rPr>
          <w:rFonts w:cs="Arial"/>
          <w:color w:val="000000" w:themeColor="text1"/>
        </w:rPr>
        <w:t>The following memo is designed to provide an overview for the Visit Mendocino County Board of Directors of the major projects that have been undertaken by Visit Mendocino Coun</w:t>
      </w:r>
      <w:r w:rsidR="00DC359D">
        <w:rPr>
          <w:rFonts w:cs="Arial"/>
          <w:color w:val="000000" w:themeColor="text1"/>
        </w:rPr>
        <w:t>ty. Se</w:t>
      </w:r>
      <w:r w:rsidRPr="00DC359D">
        <w:rPr>
          <w:rFonts w:cs="Arial"/>
          <w:color w:val="000000" w:themeColor="text1"/>
        </w:rPr>
        <w:t>veral years ago SMG was approached to submit</w:t>
      </w:r>
      <w:r w:rsidR="00DC359D">
        <w:rPr>
          <w:rFonts w:cs="Arial"/>
          <w:color w:val="000000" w:themeColor="text1"/>
        </w:rPr>
        <w:t xml:space="preserve"> </w:t>
      </w:r>
      <w:r w:rsidRPr="00DC359D">
        <w:rPr>
          <w:rFonts w:cs="Arial"/>
          <w:color w:val="000000" w:themeColor="text1"/>
        </w:rPr>
        <w:t>a p</w:t>
      </w:r>
      <w:r w:rsidR="00DC359D">
        <w:rPr>
          <w:rFonts w:cs="Arial"/>
          <w:color w:val="000000" w:themeColor="text1"/>
        </w:rPr>
        <w:t>roposal for a number of important</w:t>
      </w:r>
      <w:r w:rsidRPr="00DC359D">
        <w:rPr>
          <w:rFonts w:cs="Arial"/>
          <w:color w:val="000000" w:themeColor="text1"/>
        </w:rPr>
        <w:t xml:space="preserve"> project </w:t>
      </w:r>
      <w:r w:rsidR="00DC359D" w:rsidRPr="00DC359D">
        <w:rPr>
          <w:rFonts w:cs="Arial"/>
          <w:color w:val="000000" w:themeColor="text1"/>
        </w:rPr>
        <w:t>those</w:t>
      </w:r>
      <w:r w:rsidRPr="00DC359D">
        <w:rPr>
          <w:rFonts w:cs="Arial"/>
          <w:color w:val="000000" w:themeColor="text1"/>
        </w:rPr>
        <w:t xml:space="preserve"> </w:t>
      </w:r>
      <w:r w:rsidR="00DC359D">
        <w:rPr>
          <w:rFonts w:cs="Arial"/>
          <w:color w:val="000000" w:themeColor="text1"/>
        </w:rPr>
        <w:t>project included the implement</w:t>
      </w:r>
      <w:r w:rsidRPr="00DC359D">
        <w:rPr>
          <w:rFonts w:cs="Arial"/>
          <w:color w:val="000000" w:themeColor="text1"/>
        </w:rPr>
        <w:t xml:space="preserve">ation of a comprehensive marketing research </w:t>
      </w:r>
      <w:r w:rsidR="00DC359D" w:rsidRPr="00DC359D">
        <w:rPr>
          <w:rFonts w:cs="Arial"/>
          <w:color w:val="000000" w:themeColor="text1"/>
        </w:rPr>
        <w:t>project</w:t>
      </w:r>
      <w:r w:rsidRPr="00DC359D">
        <w:rPr>
          <w:rFonts w:cs="Arial"/>
          <w:color w:val="000000" w:themeColor="text1"/>
        </w:rPr>
        <w:t xml:space="preserve">. The development of </w:t>
      </w:r>
      <w:r w:rsidR="00DC359D" w:rsidRPr="00DC359D">
        <w:rPr>
          <w:rFonts w:cs="Arial"/>
          <w:color w:val="000000" w:themeColor="text1"/>
        </w:rPr>
        <w:t>a strategic</w:t>
      </w:r>
      <w:r w:rsidRPr="00DC359D">
        <w:rPr>
          <w:rFonts w:cs="Arial"/>
          <w:color w:val="000000" w:themeColor="text1"/>
        </w:rPr>
        <w:t xml:space="preserve"> </w:t>
      </w:r>
      <w:r w:rsidR="00DC359D" w:rsidRPr="00DC359D">
        <w:rPr>
          <w:rFonts w:cs="Arial"/>
          <w:color w:val="000000" w:themeColor="text1"/>
        </w:rPr>
        <w:t>Marketing</w:t>
      </w:r>
      <w:r w:rsidRPr="00DC359D">
        <w:rPr>
          <w:rFonts w:cs="Arial"/>
          <w:color w:val="000000" w:themeColor="text1"/>
        </w:rPr>
        <w:t xml:space="preserve"> plan </w:t>
      </w:r>
      <w:r w:rsidR="00DC359D" w:rsidRPr="00DC359D">
        <w:rPr>
          <w:rFonts w:cs="Arial"/>
          <w:color w:val="000000" w:themeColor="text1"/>
        </w:rPr>
        <w:t>designed</w:t>
      </w:r>
      <w:r w:rsidRPr="00DC359D">
        <w:rPr>
          <w:rFonts w:cs="Arial"/>
          <w:color w:val="000000" w:themeColor="text1"/>
        </w:rPr>
        <w:t xml:space="preserve"> to provide direction for the organization from 20132-2016 and the development of </w:t>
      </w:r>
      <w:r w:rsidR="00DC359D" w:rsidRPr="00DC359D">
        <w:rPr>
          <w:rFonts w:cs="Arial"/>
          <w:color w:val="000000" w:themeColor="text1"/>
        </w:rPr>
        <w:t>an</w:t>
      </w:r>
      <w:r w:rsidRPr="00DC359D">
        <w:rPr>
          <w:rFonts w:cs="Arial"/>
          <w:color w:val="000000" w:themeColor="text1"/>
        </w:rPr>
        <w:t xml:space="preserve"> </w:t>
      </w:r>
      <w:r w:rsidR="00DC359D" w:rsidRPr="00DC359D">
        <w:rPr>
          <w:rFonts w:cs="Arial"/>
          <w:color w:val="000000" w:themeColor="text1"/>
        </w:rPr>
        <w:t>indictors</w:t>
      </w:r>
      <w:r w:rsidRPr="00DC359D">
        <w:rPr>
          <w:rFonts w:cs="Arial"/>
          <w:color w:val="000000" w:themeColor="text1"/>
        </w:rPr>
        <w:t xml:space="preserve"> dashboard.  The following is an overview of each project component.</w:t>
      </w:r>
    </w:p>
    <w:p w:rsidR="000D47F7" w:rsidRDefault="000D47F7" w:rsidP="000D47F7">
      <w:pPr>
        <w:tabs>
          <w:tab w:val="left" w:pos="270"/>
          <w:tab w:val="left" w:pos="360"/>
        </w:tabs>
        <w:spacing w:after="0"/>
        <w:rPr>
          <w:rFonts w:cs="Arial"/>
          <w:b/>
          <w:color w:val="000000" w:themeColor="text1"/>
        </w:rPr>
      </w:pPr>
    </w:p>
    <w:p w:rsidR="000D47F7" w:rsidRDefault="000D47F7" w:rsidP="000D47F7">
      <w:pPr>
        <w:tabs>
          <w:tab w:val="left" w:pos="270"/>
          <w:tab w:val="left" w:pos="360"/>
        </w:tabs>
        <w:spacing w:after="0"/>
        <w:rPr>
          <w:rFonts w:cs="Arial"/>
          <w:b/>
          <w:color w:val="000000" w:themeColor="text1"/>
        </w:rPr>
      </w:pPr>
      <w:r>
        <w:rPr>
          <w:rFonts w:cs="Arial"/>
          <w:b/>
          <w:color w:val="000000" w:themeColor="text1"/>
        </w:rPr>
        <w:t>Strategic Directions Report</w:t>
      </w:r>
    </w:p>
    <w:p w:rsidR="000D47F7" w:rsidRPr="000D47F7" w:rsidRDefault="000D47F7" w:rsidP="000D47F7">
      <w:pPr>
        <w:tabs>
          <w:tab w:val="left" w:pos="270"/>
          <w:tab w:val="left" w:pos="360"/>
        </w:tabs>
        <w:spacing w:after="0"/>
        <w:rPr>
          <w:rFonts w:cs="Arial"/>
          <w:b/>
          <w:color w:val="000000" w:themeColor="text1"/>
        </w:rPr>
      </w:pPr>
    </w:p>
    <w:p w:rsidR="00404608" w:rsidRDefault="000D47F7" w:rsidP="00290391">
      <w:pPr>
        <w:rPr>
          <w:rFonts w:cstheme="minorHAnsi"/>
        </w:rPr>
      </w:pPr>
      <w:r w:rsidRPr="00237151">
        <w:rPr>
          <w:rFonts w:cstheme="minorHAnsi"/>
        </w:rPr>
        <w:t>Th</w:t>
      </w:r>
      <w:r>
        <w:rPr>
          <w:rFonts w:cstheme="minorHAnsi"/>
        </w:rPr>
        <w:t>e Strategic Directions Report was</w:t>
      </w:r>
      <w:r w:rsidRPr="00237151">
        <w:rPr>
          <w:rFonts w:cstheme="minorHAnsi"/>
        </w:rPr>
        <w:t xml:space="preserve"> a high-level view of the strategic issues, challenges a</w:t>
      </w:r>
      <w:r>
        <w:rPr>
          <w:rFonts w:cstheme="minorHAnsi"/>
        </w:rPr>
        <w:t>nd opportunities available to Visit Mendocino County. The report was</w:t>
      </w:r>
      <w:r w:rsidRPr="00237151">
        <w:rPr>
          <w:rFonts w:cstheme="minorHAnsi"/>
        </w:rPr>
        <w:t xml:space="preserve"> designed to capture the organization’s strategic insight and future direction. </w:t>
      </w:r>
      <w:r w:rsidR="00290391">
        <w:rPr>
          <w:rFonts w:cstheme="minorHAnsi"/>
        </w:rPr>
        <w:t xml:space="preserve">The document included </w:t>
      </w:r>
      <w:r w:rsidR="00404608">
        <w:rPr>
          <w:rFonts w:cstheme="minorHAnsi"/>
        </w:rPr>
        <w:t xml:space="preserve">key tourism industry trends, an overview of the </w:t>
      </w:r>
      <w:r w:rsidR="00DC359D">
        <w:rPr>
          <w:rFonts w:cstheme="minorHAnsi"/>
        </w:rPr>
        <w:t>Mendocino</w:t>
      </w:r>
      <w:r w:rsidR="00404608">
        <w:rPr>
          <w:rFonts w:cstheme="minorHAnsi"/>
        </w:rPr>
        <w:t xml:space="preserve"> marketplace, destination strengths, weaknesses, opportunities and threats, organizational goals and objectives and program implementation strategies and steps designed to </w:t>
      </w:r>
      <w:r w:rsidR="00DC359D">
        <w:rPr>
          <w:rFonts w:cstheme="minorHAnsi"/>
        </w:rPr>
        <w:t>achieve</w:t>
      </w:r>
      <w:r w:rsidR="00404608">
        <w:rPr>
          <w:rFonts w:cstheme="minorHAnsi"/>
        </w:rPr>
        <w:t xml:space="preserve"> the organizations best outcomes.</w:t>
      </w:r>
    </w:p>
    <w:p w:rsidR="00404608" w:rsidRDefault="00404608" w:rsidP="00290391">
      <w:pPr>
        <w:rPr>
          <w:rFonts w:cstheme="minorHAnsi"/>
          <w:b/>
        </w:rPr>
      </w:pPr>
      <w:r w:rsidRPr="00543A02">
        <w:rPr>
          <w:rFonts w:cstheme="minorHAnsi"/>
          <w:b/>
        </w:rPr>
        <w:t>Marketing Research</w:t>
      </w:r>
    </w:p>
    <w:p w:rsidR="00543A02" w:rsidRDefault="00543A02" w:rsidP="00290391">
      <w:pPr>
        <w:rPr>
          <w:rFonts w:cstheme="minorHAnsi"/>
        </w:rPr>
      </w:pPr>
      <w:r>
        <w:rPr>
          <w:rFonts w:cstheme="minorHAnsi"/>
        </w:rPr>
        <w:t xml:space="preserve">SMG completed a number of different project elements </w:t>
      </w:r>
      <w:r w:rsidR="00DC359D">
        <w:rPr>
          <w:rFonts w:cstheme="minorHAnsi"/>
        </w:rPr>
        <w:t>for</w:t>
      </w:r>
      <w:r>
        <w:rPr>
          <w:rFonts w:cstheme="minorHAnsi"/>
        </w:rPr>
        <w:t xml:space="preserve"> Visit Mendocino County including the following:</w:t>
      </w:r>
    </w:p>
    <w:p w:rsidR="00543A02" w:rsidRDefault="00543A02" w:rsidP="00543A02">
      <w:pPr>
        <w:autoSpaceDE w:val="0"/>
        <w:autoSpaceDN w:val="0"/>
        <w:adjustRightInd w:val="0"/>
        <w:rPr>
          <w:rFonts w:cstheme="minorHAnsi"/>
          <w:b/>
          <w:color w:val="000000"/>
        </w:rPr>
      </w:pPr>
    </w:p>
    <w:p w:rsidR="00543A02" w:rsidRDefault="00543A02" w:rsidP="00543A02">
      <w:pPr>
        <w:autoSpaceDE w:val="0"/>
        <w:autoSpaceDN w:val="0"/>
        <w:adjustRightInd w:val="0"/>
        <w:rPr>
          <w:rFonts w:cstheme="minorHAnsi"/>
          <w:b/>
          <w:color w:val="000000"/>
        </w:rPr>
      </w:pPr>
    </w:p>
    <w:p w:rsidR="00543A02" w:rsidRDefault="00543A02" w:rsidP="00543A02">
      <w:pPr>
        <w:autoSpaceDE w:val="0"/>
        <w:autoSpaceDN w:val="0"/>
        <w:adjustRightInd w:val="0"/>
        <w:rPr>
          <w:rFonts w:cstheme="minorHAnsi"/>
          <w:b/>
          <w:color w:val="000000"/>
        </w:rPr>
      </w:pPr>
    </w:p>
    <w:p w:rsidR="00543A02" w:rsidRPr="00543A02" w:rsidRDefault="00543A02" w:rsidP="00543A02">
      <w:pPr>
        <w:autoSpaceDE w:val="0"/>
        <w:autoSpaceDN w:val="0"/>
        <w:adjustRightInd w:val="0"/>
        <w:rPr>
          <w:rFonts w:cstheme="minorHAnsi"/>
          <w:b/>
          <w:color w:val="000000"/>
        </w:rPr>
      </w:pPr>
      <w:r w:rsidRPr="00543A02">
        <w:rPr>
          <w:rFonts w:cstheme="minorHAnsi"/>
          <w:b/>
          <w:color w:val="000000"/>
        </w:rPr>
        <w:t>Situation Analysis Outline</w:t>
      </w:r>
      <w:r>
        <w:tab/>
      </w:r>
      <w:r>
        <w:tab/>
      </w:r>
    </w:p>
    <w:p w:rsidR="00543A02" w:rsidRDefault="00543A02" w:rsidP="00543A02">
      <w:r>
        <w:t>SMG reviewed both macro and micro issues that impact the tourism marketplace in general and the destination and organization specifically. SMG implemented the following:</w:t>
      </w:r>
    </w:p>
    <w:p w:rsidR="00543A02" w:rsidRDefault="00543A02" w:rsidP="00543A02">
      <w:pPr>
        <w:pStyle w:val="ListParagraph"/>
        <w:numPr>
          <w:ilvl w:val="0"/>
          <w:numId w:val="7"/>
        </w:numPr>
        <w:spacing w:line="276" w:lineRule="auto"/>
        <w:ind w:left="450" w:hanging="450"/>
        <w:rPr>
          <w:rFonts w:asciiTheme="minorHAnsi" w:hAnsiTheme="minorHAnsi"/>
          <w:sz w:val="22"/>
          <w:szCs w:val="22"/>
        </w:rPr>
      </w:pPr>
      <w:r>
        <w:rPr>
          <w:rFonts w:asciiTheme="minorHAnsi" w:hAnsiTheme="minorHAnsi"/>
          <w:sz w:val="22"/>
          <w:szCs w:val="22"/>
        </w:rPr>
        <w:t>SMG reviewed the Visit Mendocino County situation analysis that was in its marketing plan at the time.</w:t>
      </w:r>
    </w:p>
    <w:p w:rsidR="00543A02" w:rsidRDefault="008F484F" w:rsidP="00543A02">
      <w:pPr>
        <w:pStyle w:val="ListParagraph"/>
        <w:numPr>
          <w:ilvl w:val="0"/>
          <w:numId w:val="7"/>
        </w:numPr>
        <w:spacing w:line="276" w:lineRule="auto"/>
        <w:ind w:left="450" w:hanging="450"/>
        <w:rPr>
          <w:rFonts w:asciiTheme="minorHAnsi" w:hAnsiTheme="minorHAnsi"/>
          <w:sz w:val="22"/>
          <w:szCs w:val="22"/>
        </w:rPr>
      </w:pPr>
      <w:r>
        <w:rPr>
          <w:rFonts w:asciiTheme="minorHAnsi" w:hAnsiTheme="minorHAnsi"/>
          <w:sz w:val="22"/>
          <w:szCs w:val="22"/>
        </w:rPr>
        <w:t xml:space="preserve">SMG </w:t>
      </w:r>
      <w:r w:rsidR="00543A02">
        <w:rPr>
          <w:rFonts w:asciiTheme="minorHAnsi" w:hAnsiTheme="minorHAnsi"/>
          <w:sz w:val="22"/>
          <w:szCs w:val="22"/>
        </w:rPr>
        <w:t>developed a proposed outline for Mendocino County and solicited input on the most useable elements for a situation analysis.</w:t>
      </w:r>
    </w:p>
    <w:p w:rsidR="00543A02" w:rsidRPr="00543A02" w:rsidRDefault="00543A02" w:rsidP="00543A02">
      <w:pPr>
        <w:pStyle w:val="ListParagraph"/>
        <w:numPr>
          <w:ilvl w:val="0"/>
          <w:numId w:val="7"/>
        </w:numPr>
        <w:spacing w:line="276" w:lineRule="auto"/>
        <w:ind w:left="450" w:hanging="450"/>
        <w:rPr>
          <w:rFonts w:asciiTheme="minorHAnsi" w:hAnsiTheme="minorHAnsi"/>
          <w:sz w:val="22"/>
          <w:szCs w:val="22"/>
        </w:rPr>
      </w:pPr>
      <w:r w:rsidRPr="00543A02">
        <w:rPr>
          <w:rFonts w:asciiTheme="minorHAnsi" w:hAnsiTheme="minorHAnsi"/>
          <w:b/>
          <w:sz w:val="22"/>
          <w:szCs w:val="22"/>
        </w:rPr>
        <w:t xml:space="preserve"> </w:t>
      </w:r>
      <w:r w:rsidRPr="00543A02">
        <w:rPr>
          <w:rFonts w:asciiTheme="minorHAnsi" w:hAnsiTheme="minorHAnsi"/>
          <w:sz w:val="22"/>
          <w:szCs w:val="22"/>
        </w:rPr>
        <w:t>SMG develop</w:t>
      </w:r>
      <w:r w:rsidR="008F484F">
        <w:rPr>
          <w:rFonts w:asciiTheme="minorHAnsi" w:hAnsiTheme="minorHAnsi"/>
          <w:sz w:val="22"/>
          <w:szCs w:val="22"/>
        </w:rPr>
        <w:t>ed</w:t>
      </w:r>
      <w:r w:rsidRPr="00543A02">
        <w:rPr>
          <w:rFonts w:asciiTheme="minorHAnsi" w:hAnsiTheme="minorHAnsi"/>
          <w:sz w:val="22"/>
          <w:szCs w:val="22"/>
        </w:rPr>
        <w:t xml:space="preserve"> a situation analysis for Visit Mendocino County that </w:t>
      </w:r>
      <w:r w:rsidR="008F484F">
        <w:rPr>
          <w:rFonts w:asciiTheme="minorHAnsi" w:hAnsiTheme="minorHAnsi"/>
          <w:sz w:val="22"/>
          <w:szCs w:val="22"/>
        </w:rPr>
        <w:t>was</w:t>
      </w:r>
      <w:r w:rsidRPr="00543A02">
        <w:rPr>
          <w:rFonts w:asciiTheme="minorHAnsi" w:hAnsiTheme="minorHAnsi"/>
          <w:sz w:val="22"/>
          <w:szCs w:val="22"/>
        </w:rPr>
        <w:t xml:space="preserve"> implemented into its next marketing plan.</w:t>
      </w:r>
    </w:p>
    <w:p w:rsidR="008F484F" w:rsidRDefault="008F484F" w:rsidP="008F484F"/>
    <w:p w:rsidR="00543A02" w:rsidRPr="008F484F" w:rsidRDefault="00543A02" w:rsidP="008F484F">
      <w:pPr>
        <w:rPr>
          <w:b/>
        </w:rPr>
      </w:pPr>
      <w:r w:rsidRPr="008F484F">
        <w:rPr>
          <w:b/>
        </w:rPr>
        <w:t>Marketing Dashboard Outline</w:t>
      </w:r>
    </w:p>
    <w:p w:rsidR="00543A02" w:rsidRDefault="008F484F" w:rsidP="008F484F">
      <w:r>
        <w:t xml:space="preserve">SMG </w:t>
      </w:r>
      <w:r w:rsidR="00543A02" w:rsidRPr="00063365">
        <w:t>develop</w:t>
      </w:r>
      <w:r>
        <w:t>ed</w:t>
      </w:r>
      <w:r w:rsidR="00543A02" w:rsidRPr="00063365">
        <w:t xml:space="preserve"> a “marketing information dashboard”</w:t>
      </w:r>
      <w:r w:rsidR="00543A02">
        <w:t xml:space="preserve"> outline of various topline data sets with a goal toward making the information easy for users</w:t>
      </w:r>
      <w:r>
        <w:t xml:space="preserve"> to review and absorb. SMG </w:t>
      </w:r>
      <w:r w:rsidR="00543A02">
        <w:t>implement</w:t>
      </w:r>
      <w:r>
        <w:t>ed</w:t>
      </w:r>
      <w:r w:rsidR="00543A02">
        <w:t xml:space="preserve"> the following steps:</w:t>
      </w:r>
    </w:p>
    <w:p w:rsidR="00543A02" w:rsidRDefault="008F484F" w:rsidP="008F484F">
      <w:pPr>
        <w:pStyle w:val="ListParagraph"/>
        <w:numPr>
          <w:ilvl w:val="0"/>
          <w:numId w:val="8"/>
        </w:numPr>
        <w:spacing w:line="276" w:lineRule="auto"/>
        <w:ind w:left="450" w:hanging="450"/>
        <w:rPr>
          <w:rFonts w:asciiTheme="minorHAnsi" w:hAnsiTheme="minorHAnsi"/>
          <w:sz w:val="22"/>
          <w:szCs w:val="22"/>
        </w:rPr>
      </w:pPr>
      <w:r>
        <w:rPr>
          <w:rFonts w:asciiTheme="minorHAnsi" w:hAnsiTheme="minorHAnsi"/>
          <w:sz w:val="22"/>
          <w:szCs w:val="22"/>
        </w:rPr>
        <w:t>SMG m</w:t>
      </w:r>
      <w:r w:rsidR="00543A02">
        <w:rPr>
          <w:rFonts w:asciiTheme="minorHAnsi" w:hAnsiTheme="minorHAnsi"/>
          <w:sz w:val="22"/>
          <w:szCs w:val="22"/>
        </w:rPr>
        <w:t xml:space="preserve">et with Visit Mendocino County to understand what the information needs and to determine if such information is available. </w:t>
      </w:r>
    </w:p>
    <w:p w:rsidR="00543A02" w:rsidRDefault="008F484F" w:rsidP="008F484F">
      <w:pPr>
        <w:pStyle w:val="ListParagraph"/>
        <w:numPr>
          <w:ilvl w:val="0"/>
          <w:numId w:val="8"/>
        </w:numPr>
        <w:spacing w:line="276" w:lineRule="auto"/>
        <w:ind w:left="450" w:hanging="450"/>
        <w:rPr>
          <w:rFonts w:asciiTheme="minorHAnsi" w:hAnsiTheme="minorHAnsi"/>
          <w:sz w:val="22"/>
          <w:szCs w:val="22"/>
        </w:rPr>
      </w:pPr>
      <w:r>
        <w:rPr>
          <w:rFonts w:asciiTheme="minorHAnsi" w:hAnsiTheme="minorHAnsi"/>
          <w:sz w:val="22"/>
          <w:szCs w:val="22"/>
        </w:rPr>
        <w:t>SMG recommend data sets that were</w:t>
      </w:r>
      <w:r w:rsidR="00543A02">
        <w:rPr>
          <w:rFonts w:asciiTheme="minorHAnsi" w:hAnsiTheme="minorHAnsi"/>
          <w:sz w:val="22"/>
          <w:szCs w:val="22"/>
        </w:rPr>
        <w:t xml:space="preserve"> pertinent to the users and should be included into the dashboard.</w:t>
      </w:r>
    </w:p>
    <w:p w:rsidR="00543A02" w:rsidRDefault="008F484F" w:rsidP="008F484F">
      <w:pPr>
        <w:pStyle w:val="ListParagraph"/>
        <w:numPr>
          <w:ilvl w:val="0"/>
          <w:numId w:val="8"/>
        </w:numPr>
        <w:spacing w:line="276" w:lineRule="auto"/>
        <w:ind w:left="450" w:hanging="450"/>
        <w:rPr>
          <w:rFonts w:asciiTheme="minorHAnsi" w:hAnsiTheme="minorHAnsi"/>
          <w:sz w:val="22"/>
          <w:szCs w:val="22"/>
        </w:rPr>
      </w:pPr>
      <w:r>
        <w:rPr>
          <w:rFonts w:asciiTheme="minorHAnsi" w:hAnsiTheme="minorHAnsi"/>
          <w:sz w:val="22"/>
          <w:szCs w:val="22"/>
        </w:rPr>
        <w:t>SMG a</w:t>
      </w:r>
      <w:r w:rsidR="00543A02">
        <w:rPr>
          <w:rFonts w:asciiTheme="minorHAnsi" w:hAnsiTheme="minorHAnsi"/>
          <w:sz w:val="22"/>
          <w:szCs w:val="22"/>
        </w:rPr>
        <w:t>lso recommend communication approaches for the dashboard, including interactive elements and video, as well as the use of social media tools if applicable.</w:t>
      </w:r>
    </w:p>
    <w:p w:rsidR="00543A02" w:rsidRPr="00511538" w:rsidRDefault="008F484F" w:rsidP="008F484F">
      <w:pPr>
        <w:pStyle w:val="ListParagraph"/>
        <w:numPr>
          <w:ilvl w:val="0"/>
          <w:numId w:val="8"/>
        </w:numPr>
        <w:spacing w:line="276" w:lineRule="auto"/>
        <w:ind w:left="450" w:hanging="450"/>
        <w:rPr>
          <w:rFonts w:asciiTheme="minorHAnsi" w:hAnsiTheme="minorHAnsi"/>
          <w:sz w:val="22"/>
          <w:szCs w:val="22"/>
        </w:rPr>
      </w:pPr>
      <w:r>
        <w:rPr>
          <w:rFonts w:asciiTheme="minorHAnsi" w:hAnsiTheme="minorHAnsi"/>
          <w:sz w:val="22"/>
          <w:szCs w:val="22"/>
        </w:rPr>
        <w:t xml:space="preserve">SMG </w:t>
      </w:r>
      <w:r w:rsidR="00543A02">
        <w:rPr>
          <w:rFonts w:asciiTheme="minorHAnsi" w:hAnsiTheme="minorHAnsi"/>
          <w:sz w:val="22"/>
          <w:szCs w:val="22"/>
        </w:rPr>
        <w:t>develop</w:t>
      </w:r>
      <w:r>
        <w:rPr>
          <w:rFonts w:asciiTheme="minorHAnsi" w:hAnsiTheme="minorHAnsi"/>
          <w:sz w:val="22"/>
          <w:szCs w:val="22"/>
        </w:rPr>
        <w:t>ed a brand name and logo to help</w:t>
      </w:r>
      <w:r w:rsidR="00543A02">
        <w:rPr>
          <w:rFonts w:asciiTheme="minorHAnsi" w:hAnsiTheme="minorHAnsi"/>
          <w:sz w:val="22"/>
          <w:szCs w:val="22"/>
        </w:rPr>
        <w:t xml:space="preserve"> position the dashboard as an “information product” generated by the GMC for use among stakeholders, which will also be recognized by the press and public.</w:t>
      </w:r>
    </w:p>
    <w:p w:rsidR="008F484F" w:rsidRDefault="008F484F" w:rsidP="00543A02">
      <w:r>
        <w:t xml:space="preserve">This project </w:t>
      </w:r>
      <w:r w:rsidR="00DC359D">
        <w:t>element</w:t>
      </w:r>
      <w:r>
        <w:t xml:space="preserve"> had challenges especially in collected county-wide </w:t>
      </w:r>
      <w:r w:rsidR="00DC359D">
        <w:t>lodging data. At the time there was no county wide data to understand trends and inform decision making. SMG provided a number of recommendations to help in developing a system for reporting individual property data that could be aggregated but was unsuccessful.</w:t>
      </w:r>
    </w:p>
    <w:p w:rsidR="00543A02" w:rsidRPr="008F484F" w:rsidRDefault="008F484F" w:rsidP="00543A02">
      <w:pPr>
        <w:rPr>
          <w:b/>
        </w:rPr>
      </w:pPr>
      <w:r w:rsidRPr="008F484F">
        <w:rPr>
          <w:b/>
        </w:rPr>
        <w:t>Marketing Research</w:t>
      </w:r>
    </w:p>
    <w:p w:rsidR="00543A02" w:rsidRPr="00543A02" w:rsidRDefault="008F484F" w:rsidP="00290391">
      <w:pPr>
        <w:rPr>
          <w:rFonts w:cstheme="minorHAnsi"/>
        </w:rPr>
      </w:pPr>
      <w:r>
        <w:rPr>
          <w:rFonts w:cstheme="minorHAnsi"/>
        </w:rPr>
        <w:t>SMG c</w:t>
      </w:r>
      <w:r w:rsidR="00543A02">
        <w:rPr>
          <w:rFonts w:cstheme="minorHAnsi"/>
        </w:rPr>
        <w:t>omple</w:t>
      </w:r>
      <w:r>
        <w:rPr>
          <w:rFonts w:cstheme="minorHAnsi"/>
        </w:rPr>
        <w:t>ted three different studies including</w:t>
      </w:r>
      <w:r w:rsidR="00543A02">
        <w:rPr>
          <w:rFonts w:cstheme="minorHAnsi"/>
        </w:rPr>
        <w:t xml:space="preserve"> the following</w:t>
      </w:r>
      <w:r>
        <w:rPr>
          <w:rFonts w:cstheme="minorHAnsi"/>
        </w:rPr>
        <w:t>:</w:t>
      </w:r>
    </w:p>
    <w:p w:rsidR="00543A02" w:rsidRPr="00543A02" w:rsidRDefault="00543A02" w:rsidP="00543A02">
      <w:r w:rsidRPr="00543A02">
        <w:rPr>
          <w:u w:val="single"/>
        </w:rPr>
        <w:t xml:space="preserve">Northern California/Southern Oregon </w:t>
      </w:r>
      <w:r w:rsidR="00D9769A">
        <w:rPr>
          <w:u w:val="single"/>
        </w:rPr>
        <w:t xml:space="preserve">Out of Market </w:t>
      </w:r>
      <w:bookmarkStart w:id="0" w:name="_GoBack"/>
      <w:bookmarkEnd w:id="0"/>
      <w:r w:rsidRPr="00543A02">
        <w:rPr>
          <w:u w:val="single"/>
        </w:rPr>
        <w:t>Email Panel Survey</w:t>
      </w:r>
      <w:r w:rsidRPr="00543A02">
        <w:t xml:space="preserve"> – This study </w:t>
      </w:r>
      <w:r w:rsidR="008F484F">
        <w:t>was</w:t>
      </w:r>
      <w:r w:rsidRPr="00543A02">
        <w:t xml:space="preserve"> conducted among </w:t>
      </w:r>
      <w:r w:rsidRPr="00543A02">
        <w:rPr>
          <w:i/>
        </w:rPr>
        <w:t>Travelers in Northern California and Southern Oregon</w:t>
      </w:r>
      <w:r w:rsidRPr="00543A02">
        <w:t xml:space="preserve">.  </w:t>
      </w:r>
      <w:r w:rsidR="008F484F">
        <w:t>This study was</w:t>
      </w:r>
      <w:r w:rsidRPr="00543A02">
        <w:t xml:space="preserve"> designed to survey the broad consumer market in Mendocino’s key consumer markets. </w:t>
      </w:r>
      <w:r w:rsidR="008F484F">
        <w:t xml:space="preserve">The study also </w:t>
      </w:r>
      <w:r w:rsidRPr="00543A02">
        <w:t>assess</w:t>
      </w:r>
      <w:r w:rsidR="008F484F">
        <w:t>ed</w:t>
      </w:r>
      <w:r w:rsidRPr="00543A02">
        <w:t xml:space="preserve"> visitor market share in each of the geographic</w:t>
      </w:r>
      <w:r w:rsidR="008F484F">
        <w:t xml:space="preserve"> markets. The study </w:t>
      </w:r>
      <w:r w:rsidRPr="00543A02">
        <w:t>collect</w:t>
      </w:r>
      <w:r w:rsidR="008F484F">
        <w:t>ed</w:t>
      </w:r>
      <w:r w:rsidRPr="00543A02">
        <w:t xml:space="preserve"> a variety of data including previous visit, competitor visits, length of stay, key attributes in the decision process, activity participation and more.</w:t>
      </w:r>
    </w:p>
    <w:p w:rsidR="00543A02" w:rsidRPr="00543A02" w:rsidRDefault="00543A02" w:rsidP="00543A02">
      <w:r w:rsidRPr="00543A02">
        <w:rPr>
          <w:u w:val="single"/>
        </w:rPr>
        <w:lastRenderedPageBreak/>
        <w:t>Mendocino Email Database Survey</w:t>
      </w:r>
      <w:r w:rsidRPr="00543A02">
        <w:t xml:space="preserve"> – </w:t>
      </w:r>
      <w:r w:rsidR="008F484F">
        <w:t>At the time Visit Mendocino County had</w:t>
      </w:r>
      <w:r w:rsidRPr="00543A02">
        <w:t xml:space="preserve"> an email data base of approximately 25,000. </w:t>
      </w:r>
      <w:r w:rsidR="008F484F">
        <w:t>This study</w:t>
      </w:r>
      <w:r w:rsidRPr="00543A02">
        <w:t xml:space="preserve"> unlock</w:t>
      </w:r>
      <w:r w:rsidR="008F484F">
        <w:t>ed</w:t>
      </w:r>
      <w:r w:rsidRPr="00543A02">
        <w:t xml:space="preserve"> information on these consumers. This segment is one that has some level of affinity for the destination,</w:t>
      </w:r>
      <w:r w:rsidR="008F484F">
        <w:t xml:space="preserve"> as they had</w:t>
      </w:r>
      <w:r w:rsidRPr="00543A02">
        <w:t xml:space="preserve"> provided their email address to Visit Mendocino County. This study </w:t>
      </w:r>
      <w:r w:rsidR="008F484F">
        <w:t>also sought</w:t>
      </w:r>
      <w:r w:rsidRPr="00543A02">
        <w:t xml:space="preserve"> to understand the perceptions and attitudes, motivations and</w:t>
      </w:r>
      <w:r w:rsidR="008F484F">
        <w:t xml:space="preserve"> demographics of those that had</w:t>
      </w:r>
      <w:r w:rsidRPr="00543A02">
        <w:t xml:space="preserve"> expressed an interest in visiting Mendocino County but have not, as well as those that have actually visited.</w:t>
      </w:r>
    </w:p>
    <w:p w:rsidR="00543A02" w:rsidRPr="00543A02" w:rsidRDefault="00543A02" w:rsidP="00543A02">
      <w:r w:rsidRPr="00543A02">
        <w:rPr>
          <w:u w:val="single"/>
        </w:rPr>
        <w:t>Website Conversion Study</w:t>
      </w:r>
      <w:r w:rsidRPr="00543A02">
        <w:t xml:space="preserve"> – </w:t>
      </w:r>
      <w:r w:rsidR="008F484F">
        <w:t>This study was</w:t>
      </w:r>
      <w:r w:rsidRPr="00543A02">
        <w:t xml:space="preserve"> important in understanding the effectiveness of VMC in driving potential visitors to the website and the influence the site has on their decision to visit the area. Of all the studies proposed here, this one can best measure the performance of VMC in its primary objective to increase awareness and to influence potential visitors to visit Mendocino County. The data generated from this analysis will be used to develop a Return on Investment (ROI) model for Visit Mendocino County to review.</w:t>
      </w:r>
    </w:p>
    <w:p w:rsidR="00DC359D" w:rsidRPr="002D66C4" w:rsidRDefault="00DC359D" w:rsidP="00DC359D">
      <w:r>
        <w:t>Each of these studies was</w:t>
      </w:r>
      <w:r w:rsidRPr="002D66C4">
        <w:t xml:space="preserve"> designed to show a different portion of VMC market.</w:t>
      </w:r>
      <w:r>
        <w:t xml:space="preserve"> The Northern California/Southern Oregon panel survey is designed to survey the broad consumer market in Mendocino’s key consumer markets. The other studies are designed to assess visitor market share in each of the geographic markets.</w:t>
      </w:r>
    </w:p>
    <w:p w:rsidR="00DC359D" w:rsidRPr="002D66C4" w:rsidRDefault="00DC359D" w:rsidP="00DC359D">
      <w:pPr>
        <w:pStyle w:val="ListParagraph"/>
        <w:spacing w:line="276" w:lineRule="auto"/>
        <w:rPr>
          <w:rFonts w:asciiTheme="minorHAnsi" w:hAnsiTheme="minorHAnsi"/>
          <w:sz w:val="22"/>
          <w:szCs w:val="22"/>
        </w:rPr>
      </w:pPr>
    </w:p>
    <w:p w:rsidR="00DC359D" w:rsidRPr="002D66C4" w:rsidRDefault="00DC359D" w:rsidP="00DC359D">
      <w:pPr>
        <w:jc w:val="center"/>
      </w:pPr>
      <w:r>
        <w:rPr>
          <w:noProof/>
        </w:rPr>
        <w:drawing>
          <wp:inline distT="0" distB="0" distL="0" distR="0" wp14:anchorId="372833F3" wp14:editId="1C5DC8DF">
            <wp:extent cx="3981450" cy="20288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C359D" w:rsidRDefault="00DC359D" w:rsidP="00DC359D">
      <w:pPr>
        <w:pStyle w:val="ListParagraph"/>
        <w:rPr>
          <w:rFonts w:asciiTheme="minorHAnsi" w:hAnsiTheme="minorHAnsi"/>
          <w:sz w:val="22"/>
          <w:szCs w:val="22"/>
        </w:rPr>
      </w:pPr>
    </w:p>
    <w:p w:rsidR="00DC359D" w:rsidRPr="002F78F3" w:rsidRDefault="00DC359D" w:rsidP="00DC359D">
      <w:pPr>
        <w:pStyle w:val="ListParagraph"/>
        <w:rPr>
          <w:rFonts w:asciiTheme="minorHAnsi" w:hAnsiTheme="minorHAnsi"/>
          <w:sz w:val="22"/>
          <w:szCs w:val="22"/>
        </w:rPr>
      </w:pPr>
    </w:p>
    <w:p w:rsidR="00DC359D" w:rsidRDefault="00DC359D" w:rsidP="00404608"/>
    <w:sectPr w:rsidR="00DC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364"/>
    <w:multiLevelType w:val="hybridMultilevel"/>
    <w:tmpl w:val="29145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2A6B"/>
    <w:multiLevelType w:val="hybridMultilevel"/>
    <w:tmpl w:val="7C7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7C64"/>
    <w:multiLevelType w:val="hybridMultilevel"/>
    <w:tmpl w:val="C100CF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3BE41A0"/>
    <w:multiLevelType w:val="hybridMultilevel"/>
    <w:tmpl w:val="BB40FA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2CC49CC"/>
    <w:multiLevelType w:val="hybridMultilevel"/>
    <w:tmpl w:val="A61E6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30BA7"/>
    <w:multiLevelType w:val="hybridMultilevel"/>
    <w:tmpl w:val="89FAD4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75191D2C"/>
    <w:multiLevelType w:val="hybridMultilevel"/>
    <w:tmpl w:val="A6EEAB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D741B6C"/>
    <w:multiLevelType w:val="hybridMultilevel"/>
    <w:tmpl w:val="F16A38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F7"/>
    <w:rsid w:val="000D47F7"/>
    <w:rsid w:val="00290391"/>
    <w:rsid w:val="002977A6"/>
    <w:rsid w:val="00404608"/>
    <w:rsid w:val="00461034"/>
    <w:rsid w:val="00543A02"/>
    <w:rsid w:val="008F484F"/>
    <w:rsid w:val="00AE4134"/>
    <w:rsid w:val="00B77D9B"/>
    <w:rsid w:val="00D9769A"/>
    <w:rsid w:val="00DC359D"/>
    <w:rsid w:val="00E8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DA0F"/>
  <w15:chartTrackingRefBased/>
  <w15:docId w15:val="{E2B9B970-8DD4-4E68-9502-F8C0FB58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7F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47F7"/>
    <w:rPr>
      <w:color w:val="0563C1" w:themeColor="hyperlink"/>
      <w:u w:val="single"/>
    </w:rPr>
  </w:style>
  <w:style w:type="paragraph" w:customStyle="1" w:styleId="Default">
    <w:name w:val="Default"/>
    <w:rsid w:val="000D47F7"/>
    <w:pPr>
      <w:autoSpaceDE w:val="0"/>
      <w:autoSpaceDN w:val="0"/>
      <w:adjustRightInd w:val="0"/>
      <w:spacing w:after="0" w:line="240" w:lineRule="auto"/>
    </w:pPr>
    <w:rPr>
      <w:rFonts w:ascii="TradeGothic" w:hAnsi="TradeGothic" w:cs="TradeGothic"/>
      <w:color w:val="000000"/>
      <w:sz w:val="24"/>
      <w:szCs w:val="24"/>
    </w:rPr>
  </w:style>
  <w:style w:type="paragraph" w:styleId="NoSpacing">
    <w:name w:val="No Spacing"/>
    <w:uiPriority w:val="1"/>
    <w:qFormat/>
    <w:rsid w:val="002903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AA768C-C7A4-49A9-BC4A-2216808BEC16}" type="doc">
      <dgm:prSet loTypeId="urn:microsoft.com/office/officeart/2005/8/layout/cycle7" loCatId="cycle" qsTypeId="urn:microsoft.com/office/officeart/2005/8/quickstyle/simple1" qsCatId="simple" csTypeId="urn:microsoft.com/office/officeart/2005/8/colors/colorful1" csCatId="colorful" phldr="1"/>
      <dgm:spPr/>
      <dgm:t>
        <a:bodyPr/>
        <a:lstStyle/>
        <a:p>
          <a:endParaRPr lang="en-US"/>
        </a:p>
      </dgm:t>
    </dgm:pt>
    <dgm:pt modelId="{F4E7CE39-BDEE-4735-A0BE-6327A5DD7B56}">
      <dgm:prSet phldrT="[Text]"/>
      <dgm:spPr/>
      <dgm:t>
        <a:bodyPr/>
        <a:lstStyle/>
        <a:p>
          <a:r>
            <a:rPr lang="en-US"/>
            <a:t>N. California/Southern Oregon Panel Survey</a:t>
          </a:r>
        </a:p>
      </dgm:t>
    </dgm:pt>
    <dgm:pt modelId="{CFD365F5-E6F3-43B7-BA61-112930DE4AAA}" type="parTrans" cxnId="{F9190DB6-3471-4140-9454-03EC87F0FA83}">
      <dgm:prSet/>
      <dgm:spPr/>
      <dgm:t>
        <a:bodyPr/>
        <a:lstStyle/>
        <a:p>
          <a:endParaRPr lang="en-US"/>
        </a:p>
      </dgm:t>
    </dgm:pt>
    <dgm:pt modelId="{99FADA49-8856-46DE-B936-ECB57B3771F8}" type="sibTrans" cxnId="{F9190DB6-3471-4140-9454-03EC87F0FA83}">
      <dgm:prSet/>
      <dgm:spPr/>
      <dgm:t>
        <a:bodyPr/>
        <a:lstStyle/>
        <a:p>
          <a:endParaRPr lang="en-US"/>
        </a:p>
      </dgm:t>
    </dgm:pt>
    <dgm:pt modelId="{03DC807B-C481-41ED-95C5-73CCE01A1CD5}">
      <dgm:prSet phldrT="[Text]"/>
      <dgm:spPr/>
      <dgm:t>
        <a:bodyPr/>
        <a:lstStyle/>
        <a:p>
          <a:r>
            <a:rPr lang="en-US"/>
            <a:t>Website ROI</a:t>
          </a:r>
        </a:p>
        <a:p>
          <a:r>
            <a:rPr lang="en-US"/>
            <a:t>Study</a:t>
          </a:r>
        </a:p>
      </dgm:t>
    </dgm:pt>
    <dgm:pt modelId="{D7C91DC3-725C-4660-91DA-98EE3DE3D8AB}" type="parTrans" cxnId="{18262F1C-1994-4B6D-8435-A4DBDEC61D56}">
      <dgm:prSet/>
      <dgm:spPr/>
      <dgm:t>
        <a:bodyPr/>
        <a:lstStyle/>
        <a:p>
          <a:endParaRPr lang="en-US"/>
        </a:p>
      </dgm:t>
    </dgm:pt>
    <dgm:pt modelId="{A0E56DFF-22E2-4AB8-8534-496DB8103C38}" type="sibTrans" cxnId="{18262F1C-1994-4B6D-8435-A4DBDEC61D56}">
      <dgm:prSet/>
      <dgm:spPr/>
      <dgm:t>
        <a:bodyPr/>
        <a:lstStyle/>
        <a:p>
          <a:endParaRPr lang="en-US"/>
        </a:p>
      </dgm:t>
    </dgm:pt>
    <dgm:pt modelId="{E89DE68C-4B87-4E95-83D7-FA28A411C4EE}">
      <dgm:prSet phldrT="[Text]"/>
      <dgm:spPr/>
      <dgm:t>
        <a:bodyPr/>
        <a:lstStyle/>
        <a:p>
          <a:r>
            <a:rPr lang="en-US"/>
            <a:t>Email Data Base</a:t>
          </a:r>
        </a:p>
        <a:p>
          <a:r>
            <a:rPr lang="en-US"/>
            <a:t>Survey</a:t>
          </a:r>
        </a:p>
      </dgm:t>
    </dgm:pt>
    <dgm:pt modelId="{44E27039-C01D-4C28-8AFE-90BE3F33641C}" type="parTrans" cxnId="{8DB12DB7-07D7-40E3-B2DE-A0FB7E450C48}">
      <dgm:prSet/>
      <dgm:spPr/>
      <dgm:t>
        <a:bodyPr/>
        <a:lstStyle/>
        <a:p>
          <a:endParaRPr lang="en-US"/>
        </a:p>
      </dgm:t>
    </dgm:pt>
    <dgm:pt modelId="{3314C7BA-924F-47AF-9650-08177E52A66E}" type="sibTrans" cxnId="{8DB12DB7-07D7-40E3-B2DE-A0FB7E450C48}">
      <dgm:prSet/>
      <dgm:spPr/>
      <dgm:t>
        <a:bodyPr/>
        <a:lstStyle/>
        <a:p>
          <a:endParaRPr lang="en-US"/>
        </a:p>
      </dgm:t>
    </dgm:pt>
    <dgm:pt modelId="{E0C6F731-2F39-457C-90F7-16EC420CD292}" type="pres">
      <dgm:prSet presAssocID="{72AA768C-C7A4-49A9-BC4A-2216808BEC16}" presName="Name0" presStyleCnt="0">
        <dgm:presLayoutVars>
          <dgm:dir/>
          <dgm:resizeHandles val="exact"/>
        </dgm:presLayoutVars>
      </dgm:prSet>
      <dgm:spPr/>
      <dgm:t>
        <a:bodyPr/>
        <a:lstStyle/>
        <a:p>
          <a:endParaRPr lang="en-US"/>
        </a:p>
      </dgm:t>
    </dgm:pt>
    <dgm:pt modelId="{C6AA232F-A634-44C7-A25F-3752EEE89D1A}" type="pres">
      <dgm:prSet presAssocID="{F4E7CE39-BDEE-4735-A0BE-6327A5DD7B56}" presName="node" presStyleLbl="node1" presStyleIdx="0" presStyleCnt="3">
        <dgm:presLayoutVars>
          <dgm:bulletEnabled val="1"/>
        </dgm:presLayoutVars>
      </dgm:prSet>
      <dgm:spPr/>
      <dgm:t>
        <a:bodyPr/>
        <a:lstStyle/>
        <a:p>
          <a:endParaRPr lang="en-US"/>
        </a:p>
      </dgm:t>
    </dgm:pt>
    <dgm:pt modelId="{3D7C7129-7D46-4820-8D6F-C60B8C1583BE}" type="pres">
      <dgm:prSet presAssocID="{99FADA49-8856-46DE-B936-ECB57B3771F8}" presName="sibTrans" presStyleLbl="sibTrans2D1" presStyleIdx="0" presStyleCnt="3"/>
      <dgm:spPr/>
      <dgm:t>
        <a:bodyPr/>
        <a:lstStyle/>
        <a:p>
          <a:endParaRPr lang="en-US"/>
        </a:p>
      </dgm:t>
    </dgm:pt>
    <dgm:pt modelId="{5CC76C04-7FAA-4AD9-AF80-0B03AD518B5E}" type="pres">
      <dgm:prSet presAssocID="{99FADA49-8856-46DE-B936-ECB57B3771F8}" presName="connectorText" presStyleLbl="sibTrans2D1" presStyleIdx="0" presStyleCnt="3"/>
      <dgm:spPr/>
      <dgm:t>
        <a:bodyPr/>
        <a:lstStyle/>
        <a:p>
          <a:endParaRPr lang="en-US"/>
        </a:p>
      </dgm:t>
    </dgm:pt>
    <dgm:pt modelId="{62E2DB2B-1690-4FDF-ADD1-839BC18D3E5B}" type="pres">
      <dgm:prSet presAssocID="{03DC807B-C481-41ED-95C5-73CCE01A1CD5}" presName="node" presStyleLbl="node1" presStyleIdx="1" presStyleCnt="3">
        <dgm:presLayoutVars>
          <dgm:bulletEnabled val="1"/>
        </dgm:presLayoutVars>
      </dgm:prSet>
      <dgm:spPr/>
      <dgm:t>
        <a:bodyPr/>
        <a:lstStyle/>
        <a:p>
          <a:endParaRPr lang="en-US"/>
        </a:p>
      </dgm:t>
    </dgm:pt>
    <dgm:pt modelId="{5530CB93-E1E8-4381-9D58-838CD1EC7E29}" type="pres">
      <dgm:prSet presAssocID="{A0E56DFF-22E2-4AB8-8534-496DB8103C38}" presName="sibTrans" presStyleLbl="sibTrans2D1" presStyleIdx="1" presStyleCnt="3"/>
      <dgm:spPr/>
      <dgm:t>
        <a:bodyPr/>
        <a:lstStyle/>
        <a:p>
          <a:endParaRPr lang="en-US"/>
        </a:p>
      </dgm:t>
    </dgm:pt>
    <dgm:pt modelId="{6F6133BA-75A3-42CE-9BA8-0A090809DB95}" type="pres">
      <dgm:prSet presAssocID="{A0E56DFF-22E2-4AB8-8534-496DB8103C38}" presName="connectorText" presStyleLbl="sibTrans2D1" presStyleIdx="1" presStyleCnt="3"/>
      <dgm:spPr/>
      <dgm:t>
        <a:bodyPr/>
        <a:lstStyle/>
        <a:p>
          <a:endParaRPr lang="en-US"/>
        </a:p>
      </dgm:t>
    </dgm:pt>
    <dgm:pt modelId="{7A1AF63A-2F19-4492-8E93-3FEFA2064447}" type="pres">
      <dgm:prSet presAssocID="{E89DE68C-4B87-4E95-83D7-FA28A411C4EE}" presName="node" presStyleLbl="node1" presStyleIdx="2" presStyleCnt="3">
        <dgm:presLayoutVars>
          <dgm:bulletEnabled val="1"/>
        </dgm:presLayoutVars>
      </dgm:prSet>
      <dgm:spPr/>
      <dgm:t>
        <a:bodyPr/>
        <a:lstStyle/>
        <a:p>
          <a:endParaRPr lang="en-US"/>
        </a:p>
      </dgm:t>
    </dgm:pt>
    <dgm:pt modelId="{3CE271E0-C439-460A-A8E5-995CCC957801}" type="pres">
      <dgm:prSet presAssocID="{3314C7BA-924F-47AF-9650-08177E52A66E}" presName="sibTrans" presStyleLbl="sibTrans2D1" presStyleIdx="2" presStyleCnt="3"/>
      <dgm:spPr/>
      <dgm:t>
        <a:bodyPr/>
        <a:lstStyle/>
        <a:p>
          <a:endParaRPr lang="en-US"/>
        </a:p>
      </dgm:t>
    </dgm:pt>
    <dgm:pt modelId="{07380EFF-1A54-4999-A2B2-C544DECB51C8}" type="pres">
      <dgm:prSet presAssocID="{3314C7BA-924F-47AF-9650-08177E52A66E}" presName="connectorText" presStyleLbl="sibTrans2D1" presStyleIdx="2" presStyleCnt="3"/>
      <dgm:spPr/>
      <dgm:t>
        <a:bodyPr/>
        <a:lstStyle/>
        <a:p>
          <a:endParaRPr lang="en-US"/>
        </a:p>
      </dgm:t>
    </dgm:pt>
  </dgm:ptLst>
  <dgm:cxnLst>
    <dgm:cxn modelId="{80542FD7-394B-4A84-8921-7EF2EF16CABB}" type="presOf" srcId="{99FADA49-8856-46DE-B936-ECB57B3771F8}" destId="{5CC76C04-7FAA-4AD9-AF80-0B03AD518B5E}" srcOrd="1" destOrd="0" presId="urn:microsoft.com/office/officeart/2005/8/layout/cycle7"/>
    <dgm:cxn modelId="{F11BE005-7FCF-4153-BAC1-2C580CFBA5D6}" type="presOf" srcId="{72AA768C-C7A4-49A9-BC4A-2216808BEC16}" destId="{E0C6F731-2F39-457C-90F7-16EC420CD292}" srcOrd="0" destOrd="0" presId="urn:microsoft.com/office/officeart/2005/8/layout/cycle7"/>
    <dgm:cxn modelId="{8E3602CA-B0ED-4ED9-B81A-6AE5D2A44953}" type="presOf" srcId="{3314C7BA-924F-47AF-9650-08177E52A66E}" destId="{3CE271E0-C439-460A-A8E5-995CCC957801}" srcOrd="0" destOrd="0" presId="urn:microsoft.com/office/officeart/2005/8/layout/cycle7"/>
    <dgm:cxn modelId="{18262F1C-1994-4B6D-8435-A4DBDEC61D56}" srcId="{72AA768C-C7A4-49A9-BC4A-2216808BEC16}" destId="{03DC807B-C481-41ED-95C5-73CCE01A1CD5}" srcOrd="1" destOrd="0" parTransId="{D7C91DC3-725C-4660-91DA-98EE3DE3D8AB}" sibTransId="{A0E56DFF-22E2-4AB8-8534-496DB8103C38}"/>
    <dgm:cxn modelId="{F45A4DDF-591A-415A-8040-23CDEE85159F}" type="presOf" srcId="{A0E56DFF-22E2-4AB8-8534-496DB8103C38}" destId="{6F6133BA-75A3-42CE-9BA8-0A090809DB95}" srcOrd="1" destOrd="0" presId="urn:microsoft.com/office/officeart/2005/8/layout/cycle7"/>
    <dgm:cxn modelId="{528DED3C-7138-459A-BF4F-4F406B01E4FA}" type="presOf" srcId="{F4E7CE39-BDEE-4735-A0BE-6327A5DD7B56}" destId="{C6AA232F-A634-44C7-A25F-3752EEE89D1A}" srcOrd="0" destOrd="0" presId="urn:microsoft.com/office/officeart/2005/8/layout/cycle7"/>
    <dgm:cxn modelId="{60E66EC5-DB68-477F-91DF-5A7BDD02BF26}" type="presOf" srcId="{99FADA49-8856-46DE-B936-ECB57B3771F8}" destId="{3D7C7129-7D46-4820-8D6F-C60B8C1583BE}" srcOrd="0" destOrd="0" presId="urn:microsoft.com/office/officeart/2005/8/layout/cycle7"/>
    <dgm:cxn modelId="{F9190DB6-3471-4140-9454-03EC87F0FA83}" srcId="{72AA768C-C7A4-49A9-BC4A-2216808BEC16}" destId="{F4E7CE39-BDEE-4735-A0BE-6327A5DD7B56}" srcOrd="0" destOrd="0" parTransId="{CFD365F5-E6F3-43B7-BA61-112930DE4AAA}" sibTransId="{99FADA49-8856-46DE-B936-ECB57B3771F8}"/>
    <dgm:cxn modelId="{D644A2CE-3AB7-4ACA-AE33-20B107921115}" type="presOf" srcId="{E89DE68C-4B87-4E95-83D7-FA28A411C4EE}" destId="{7A1AF63A-2F19-4492-8E93-3FEFA2064447}" srcOrd="0" destOrd="0" presId="urn:microsoft.com/office/officeart/2005/8/layout/cycle7"/>
    <dgm:cxn modelId="{8DB12DB7-07D7-40E3-B2DE-A0FB7E450C48}" srcId="{72AA768C-C7A4-49A9-BC4A-2216808BEC16}" destId="{E89DE68C-4B87-4E95-83D7-FA28A411C4EE}" srcOrd="2" destOrd="0" parTransId="{44E27039-C01D-4C28-8AFE-90BE3F33641C}" sibTransId="{3314C7BA-924F-47AF-9650-08177E52A66E}"/>
    <dgm:cxn modelId="{4FFC0722-C205-4C3D-BBFA-CC3626F73800}" type="presOf" srcId="{3314C7BA-924F-47AF-9650-08177E52A66E}" destId="{07380EFF-1A54-4999-A2B2-C544DECB51C8}" srcOrd="1" destOrd="0" presId="urn:microsoft.com/office/officeart/2005/8/layout/cycle7"/>
    <dgm:cxn modelId="{5A8AAE8A-515F-415C-94D7-4DEA5B900E67}" type="presOf" srcId="{A0E56DFF-22E2-4AB8-8534-496DB8103C38}" destId="{5530CB93-E1E8-4381-9D58-838CD1EC7E29}" srcOrd="0" destOrd="0" presId="urn:microsoft.com/office/officeart/2005/8/layout/cycle7"/>
    <dgm:cxn modelId="{A029DA6D-5BE8-49F7-B8CA-9AD915524502}" type="presOf" srcId="{03DC807B-C481-41ED-95C5-73CCE01A1CD5}" destId="{62E2DB2B-1690-4FDF-ADD1-839BC18D3E5B}" srcOrd="0" destOrd="0" presId="urn:microsoft.com/office/officeart/2005/8/layout/cycle7"/>
    <dgm:cxn modelId="{E5C33A3F-8D47-49C7-8BE0-7CC8DA904987}" type="presParOf" srcId="{E0C6F731-2F39-457C-90F7-16EC420CD292}" destId="{C6AA232F-A634-44C7-A25F-3752EEE89D1A}" srcOrd="0" destOrd="0" presId="urn:microsoft.com/office/officeart/2005/8/layout/cycle7"/>
    <dgm:cxn modelId="{434003D1-BF9C-41A5-ADE9-7DF45EF731CE}" type="presParOf" srcId="{E0C6F731-2F39-457C-90F7-16EC420CD292}" destId="{3D7C7129-7D46-4820-8D6F-C60B8C1583BE}" srcOrd="1" destOrd="0" presId="urn:microsoft.com/office/officeart/2005/8/layout/cycle7"/>
    <dgm:cxn modelId="{C35E2C5B-BC70-4C63-B8F2-17BA75D09E4D}" type="presParOf" srcId="{3D7C7129-7D46-4820-8D6F-C60B8C1583BE}" destId="{5CC76C04-7FAA-4AD9-AF80-0B03AD518B5E}" srcOrd="0" destOrd="0" presId="urn:microsoft.com/office/officeart/2005/8/layout/cycle7"/>
    <dgm:cxn modelId="{95B5868F-2882-4F4D-889E-3AE587663FE6}" type="presParOf" srcId="{E0C6F731-2F39-457C-90F7-16EC420CD292}" destId="{62E2DB2B-1690-4FDF-ADD1-839BC18D3E5B}" srcOrd="2" destOrd="0" presId="urn:microsoft.com/office/officeart/2005/8/layout/cycle7"/>
    <dgm:cxn modelId="{1B018B20-6B6E-4720-90B5-9ABC4D39AFD5}" type="presParOf" srcId="{E0C6F731-2F39-457C-90F7-16EC420CD292}" destId="{5530CB93-E1E8-4381-9D58-838CD1EC7E29}" srcOrd="3" destOrd="0" presId="urn:microsoft.com/office/officeart/2005/8/layout/cycle7"/>
    <dgm:cxn modelId="{127137A2-3A21-4493-AD8C-AAA012797A55}" type="presParOf" srcId="{5530CB93-E1E8-4381-9D58-838CD1EC7E29}" destId="{6F6133BA-75A3-42CE-9BA8-0A090809DB95}" srcOrd="0" destOrd="0" presId="urn:microsoft.com/office/officeart/2005/8/layout/cycle7"/>
    <dgm:cxn modelId="{DF6BBA8F-17AD-4F85-94D3-923A122F3EAB}" type="presParOf" srcId="{E0C6F731-2F39-457C-90F7-16EC420CD292}" destId="{7A1AF63A-2F19-4492-8E93-3FEFA2064447}" srcOrd="4" destOrd="0" presId="urn:microsoft.com/office/officeart/2005/8/layout/cycle7"/>
    <dgm:cxn modelId="{6477E50A-74D3-4CC1-8A70-A7100B758A77}" type="presParOf" srcId="{E0C6F731-2F39-457C-90F7-16EC420CD292}" destId="{3CE271E0-C439-460A-A8E5-995CCC957801}" srcOrd="5" destOrd="0" presId="urn:microsoft.com/office/officeart/2005/8/layout/cycle7"/>
    <dgm:cxn modelId="{AAB1514D-CF9B-442A-81CA-3D2EB4C000A6}" type="presParOf" srcId="{3CE271E0-C439-460A-A8E5-995CCC957801}" destId="{07380EFF-1A54-4999-A2B2-C544DECB51C8}"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AA232F-A634-44C7-A25F-3752EEE89D1A}">
      <dsp:nvSpPr>
        <dsp:cNvPr id="0" name=""/>
        <dsp:cNvSpPr/>
      </dsp:nvSpPr>
      <dsp:spPr>
        <a:xfrm>
          <a:off x="1465826" y="34"/>
          <a:ext cx="1049796" cy="52489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 California/Southern Oregon Panel Survey</a:t>
          </a:r>
        </a:p>
      </dsp:txBody>
      <dsp:txXfrm>
        <a:off x="1481200" y="15408"/>
        <a:ext cx="1019048" cy="494150"/>
      </dsp:txXfrm>
    </dsp:sp>
    <dsp:sp modelId="{3D7C7129-7D46-4820-8D6F-C60B8C1583BE}">
      <dsp:nvSpPr>
        <dsp:cNvPr id="0" name=""/>
        <dsp:cNvSpPr/>
      </dsp:nvSpPr>
      <dsp:spPr>
        <a:xfrm rot="3600000">
          <a:off x="2150167" y="922555"/>
          <a:ext cx="549367" cy="183714"/>
        </a:xfrm>
        <a:prstGeom prst="lef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205281" y="959298"/>
        <a:ext cx="439139" cy="110228"/>
      </dsp:txXfrm>
    </dsp:sp>
    <dsp:sp modelId="{62E2DB2B-1690-4FDF-ADD1-839BC18D3E5B}">
      <dsp:nvSpPr>
        <dsp:cNvPr id="0" name=""/>
        <dsp:cNvSpPr/>
      </dsp:nvSpPr>
      <dsp:spPr>
        <a:xfrm>
          <a:off x="2334079" y="1503892"/>
          <a:ext cx="1049796" cy="52489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Website ROI</a:t>
          </a:r>
        </a:p>
        <a:p>
          <a:pPr lvl="0" algn="ctr" defTabSz="355600">
            <a:lnSpc>
              <a:spcPct val="90000"/>
            </a:lnSpc>
            <a:spcBef>
              <a:spcPct val="0"/>
            </a:spcBef>
            <a:spcAft>
              <a:spcPct val="35000"/>
            </a:spcAft>
          </a:pPr>
          <a:r>
            <a:rPr lang="en-US" sz="800" kern="1200"/>
            <a:t>Study</a:t>
          </a:r>
        </a:p>
      </dsp:txBody>
      <dsp:txXfrm>
        <a:off x="2349453" y="1519266"/>
        <a:ext cx="1019048" cy="494150"/>
      </dsp:txXfrm>
    </dsp:sp>
    <dsp:sp modelId="{5530CB93-E1E8-4381-9D58-838CD1EC7E29}">
      <dsp:nvSpPr>
        <dsp:cNvPr id="0" name=""/>
        <dsp:cNvSpPr/>
      </dsp:nvSpPr>
      <dsp:spPr>
        <a:xfrm rot="10800000">
          <a:off x="1716041" y="1674484"/>
          <a:ext cx="549367" cy="183714"/>
        </a:xfrm>
        <a:prstGeom prst="lef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771155" y="1711227"/>
        <a:ext cx="439139" cy="110228"/>
      </dsp:txXfrm>
    </dsp:sp>
    <dsp:sp modelId="{7A1AF63A-2F19-4492-8E93-3FEFA2064447}">
      <dsp:nvSpPr>
        <dsp:cNvPr id="0" name=""/>
        <dsp:cNvSpPr/>
      </dsp:nvSpPr>
      <dsp:spPr>
        <a:xfrm>
          <a:off x="597573" y="1503892"/>
          <a:ext cx="1049796" cy="52489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Email Data Base</a:t>
          </a:r>
        </a:p>
        <a:p>
          <a:pPr lvl="0" algn="ctr" defTabSz="355600">
            <a:lnSpc>
              <a:spcPct val="90000"/>
            </a:lnSpc>
            <a:spcBef>
              <a:spcPct val="0"/>
            </a:spcBef>
            <a:spcAft>
              <a:spcPct val="35000"/>
            </a:spcAft>
          </a:pPr>
          <a:r>
            <a:rPr lang="en-US" sz="800" kern="1200"/>
            <a:t>Survey</a:t>
          </a:r>
        </a:p>
      </dsp:txBody>
      <dsp:txXfrm>
        <a:off x="612947" y="1519266"/>
        <a:ext cx="1019048" cy="494150"/>
      </dsp:txXfrm>
    </dsp:sp>
    <dsp:sp modelId="{3CE271E0-C439-460A-A8E5-995CCC957801}">
      <dsp:nvSpPr>
        <dsp:cNvPr id="0" name=""/>
        <dsp:cNvSpPr/>
      </dsp:nvSpPr>
      <dsp:spPr>
        <a:xfrm rot="18000000">
          <a:off x="1281914" y="922555"/>
          <a:ext cx="549367" cy="183714"/>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37028" y="959298"/>
        <a:ext cx="439139" cy="11022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Ribaudo</dc:creator>
  <cp:keywords/>
  <dc:description/>
  <cp:lastModifiedBy>Carl Ribaudo</cp:lastModifiedBy>
  <cp:revision>3</cp:revision>
  <dcterms:created xsi:type="dcterms:W3CDTF">2016-01-20T00:23:00Z</dcterms:created>
  <dcterms:modified xsi:type="dcterms:W3CDTF">2016-01-28T21:21:00Z</dcterms:modified>
</cp:coreProperties>
</file>